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Times New Roman" w:eastAsia="方正小标宋_GBK" w:cs="Times New Roman" w:hAnsi="Times New Roman" w:hint="eastAsia"/>
          <w:bCs/>
          <w:kern w:val="0"/>
          <w:sz w:val="44"/>
          <w:szCs w:val="44"/>
        </w:rPr>
      </w:pPr>
      <w:bookmarkStart w:id="0" w:name="_GoBack"/>
      <w:bookmarkEnd w:id="0"/>
    </w:p>
    <w:p>
      <w:pPr>
        <w:spacing w:line="560" w:lineRule="exact"/>
        <w:jc w:val="center"/>
        <w:rPr>
          <w:rFonts w:ascii="Times New Roman" w:eastAsia="方正小标宋_GBK" w:cs="Times New Roman" w:hAnsi="Times New Roman"/>
          <w:bCs/>
          <w:kern w:val="0"/>
          <w:sz w:val="44"/>
          <w:szCs w:val="44"/>
        </w:rPr>
      </w:pPr>
      <w:r>
        <w:rPr>
          <w:rFonts w:ascii="Times New Roman" w:eastAsia="方正小标宋_GBK" w:cs="Times New Roman" w:hAnsi="Times New Roman"/>
          <w:bCs/>
          <w:kern w:val="0"/>
          <w:sz w:val="44"/>
          <w:szCs w:val="44"/>
        </w:rPr>
        <w:t>中华人民共和国笋岗海关对上海杰亦格进出口贸易有限公司出口侵犯“THE MONSTERS－坐坐派对搪胶毛绒盲盒”著作权商品案行政处罚结果公示</w:t>
      </w:r>
    </w:p>
    <w:tbl>
      <w:tblPr>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36"/>
        <w:gridCol w:w="937"/>
        <w:gridCol w:w="2321"/>
        <w:gridCol w:w="4728"/>
      </w:tblGrid>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行政处罚决定书文号</w:t>
            </w:r>
          </w:p>
        </w:tc>
        <w:tc>
          <w:tcPr>
            <w:tcW w:w="4728" w:type="dxa"/>
          </w:tcPr>
          <w:p>
            <w:pPr>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深笋关知罚字〔2025〕0001号</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2</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行政处罚相对人</w:t>
            </w:r>
          </w:p>
        </w:tc>
        <w:tc>
          <w:tcPr>
            <w:tcW w:w="4728" w:type="dxa"/>
          </w:tcPr>
          <w:p>
            <w:pPr>
              <w:rPr>
                <w:rFonts w:ascii="Times New Roman" w:eastAsia="方正仿宋_GBK" w:cs="Times New Roman" w:hAnsi="Times New Roman"/>
                <w:sz w:val="32"/>
                <w:szCs w:val="32"/>
              </w:rPr>
            </w:pPr>
            <w:r>
              <w:rPr>
                <w:rFonts w:ascii="Times New Roman" w:eastAsia="方正仿宋_GBK" w:cs="Times New Roman" w:hAnsi="Times New Roman"/>
                <w:bCs/>
                <w:sz w:val="32"/>
                <w:szCs w:val="32"/>
              </w:rPr>
              <w:t>上海杰亦格进出口贸易有限公司</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3</w:t>
            </w:r>
          </w:p>
        </w:tc>
        <w:tc>
          <w:tcPr>
            <w:tcW w:w="3258" w:type="dxa"/>
            <w:gridSpan w:val="2"/>
            <w:vAlign w:val="center"/>
          </w:tcPr>
          <w:p>
            <w:pPr>
              <w:spacing w:line="560" w:lineRule="exact"/>
              <w:rPr>
                <w:rFonts w:ascii="Times New Roman" w:eastAsia="方正黑体_GBK" w:cs="Times New Roman" w:hAnsi="Times New Roman"/>
                <w:sz w:val="32"/>
                <w:szCs w:val="30"/>
              </w:rPr>
            </w:pPr>
            <w:r>
              <w:rPr>
                <w:rFonts w:ascii="Times New Roman" w:eastAsia="方正黑体_GBK" w:cs="Times New Roman" w:hAnsi="Times New Roman"/>
                <w:sz w:val="32"/>
                <w:szCs w:val="30"/>
              </w:rPr>
              <w:t>统一社会信用代码</w:t>
            </w:r>
          </w:p>
          <w:p>
            <w:pPr>
              <w:spacing w:line="560" w:lineRule="exact"/>
              <w:rPr>
                <w:rFonts w:ascii="Times New Roman" w:eastAsia="方正黑体_GBK" w:cs="Times New Roman" w:hAnsi="Times New Roman"/>
                <w:sz w:val="30"/>
                <w:szCs w:val="30"/>
              </w:rPr>
            </w:pPr>
            <w:r>
              <w:rPr>
                <w:rFonts w:ascii="Times New Roman" w:eastAsia="方正黑体_GBK" w:cs="Times New Roman" w:hAnsi="Times New Roman"/>
                <w:sz w:val="32"/>
                <w:szCs w:val="30"/>
              </w:rPr>
              <w:t>/海关代码</w:t>
            </w:r>
          </w:p>
        </w:tc>
        <w:tc>
          <w:tcPr>
            <w:tcW w:w="4728" w:type="dxa"/>
            <w:vAlign w:val="center"/>
          </w:tcPr>
          <w:p>
            <w:pPr>
              <w:rPr>
                <w:rFonts w:ascii="Times New Roman" w:eastAsia="方正仿宋_GBK" w:cs="Times New Roman" w:hAnsi="Times New Roman"/>
                <w:sz w:val="32"/>
                <w:szCs w:val="32"/>
              </w:rPr>
            </w:pPr>
            <w:r>
              <w:rPr>
                <w:rFonts w:ascii="Times New Roman" w:eastAsia="方正仿宋_GBK" w:cs="Times New Roman" w:hAnsi="Times New Roman"/>
                <w:bCs/>
                <w:sz w:val="32"/>
                <w:szCs w:val="32"/>
              </w:rPr>
              <w:t>91310116MAELGYYR99</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4</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法定代表人</w:t>
            </w:r>
          </w:p>
        </w:tc>
        <w:tc>
          <w:tcPr>
            <w:tcW w:w="4728" w:type="dxa"/>
          </w:tcPr>
          <w:p>
            <w:pPr>
              <w:rPr>
                <w:rFonts w:ascii="Times New Roman" w:eastAsia="方正仿宋_GBK" w:cs="Times New Roman" w:hAnsi="Times New Roman"/>
                <w:sz w:val="32"/>
                <w:szCs w:val="32"/>
              </w:rPr>
            </w:pPr>
            <w:r>
              <w:rPr>
                <w:rFonts w:ascii="Times New Roman" w:eastAsia="方正仿宋_GBK" w:cs="Times New Roman" w:hAnsi="Times New Roman"/>
                <w:bCs/>
                <w:sz w:val="32"/>
                <w:szCs w:val="32"/>
              </w:rPr>
              <w:t>孙文杰</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5</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作出处罚决定的海关</w:t>
            </w:r>
          </w:p>
        </w:tc>
        <w:tc>
          <w:tcPr>
            <w:tcW w:w="4728" w:type="dxa"/>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笋岗海关</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6</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作出行政处罚的日期</w:t>
            </w:r>
          </w:p>
        </w:tc>
        <w:tc>
          <w:tcPr>
            <w:tcW w:w="4728" w:type="dxa"/>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2025年8月21日</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7</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违法事实和理由</w:t>
            </w:r>
          </w:p>
        </w:tc>
        <w:tc>
          <w:tcPr>
            <w:tcW w:w="7049" w:type="dxa"/>
            <w:gridSpan w:val="2"/>
          </w:tcPr>
          <w:p>
            <w:pPr>
              <w:spacing w:line="560" w:lineRule="exact"/>
              <w:ind w:firstLineChars="200" w:firstLine="640"/>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2025年6月24日，当事人委托深圳中外运物流报关有限公司以一般贸易方式向笋岗海关申报出口毛绒玩具等商品一批，报关单号：530620250060344603，目的地：波兰。经笋岗海关查验发现，实际出口货物中有THE MONSTERS－坐坐派对搪胶毛绒盲盒玩具2167个。</w:t>
            </w:r>
          </w:p>
          <w:p>
            <w:pPr>
              <w:spacing w:line="560" w:lineRule="exact"/>
              <w:ind w:firstLineChars="200" w:firstLine="640"/>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上述货物价值人民币9353元。</w:t>
            </w:r>
          </w:p>
          <w:p>
            <w:pPr>
              <w:spacing w:line="560" w:lineRule="exact"/>
              <w:ind w:firstLineChars="200" w:firstLine="640"/>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权利人北京泡泡玛特文化创意有限公司认为上述THE MONSTERS－坐坐派对搪胶毛绒盲盒玩具2167个侵犯其在海关总署备案的“THE MONSTERS－坐坐派对搪胶毛绒盲盒”著作权（备案号：C2025-193051），并向我关提出采取知识产权保护措施的申请。</w:t>
            </w:r>
          </w:p>
          <w:p>
            <w:pPr>
              <w:spacing w:line="560" w:lineRule="exact"/>
              <w:ind w:firstLineChars="200" w:firstLine="640"/>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我关经调查认为，当事人出口的THE MONSTERS－坐坐派对搪胶毛绒盲盒玩具2167个，其作品的使用事先未经著作权人许可，根据《中华人民共和国著作权法》第五十三条第一项的规定，属于侵犯他人著作权的商品，当事人出口上述货物的行为已构成出口侵犯他人著作权货物的行为。</w:t>
            </w:r>
          </w:p>
          <w:p>
            <w:pPr>
              <w:spacing w:line="560" w:lineRule="exact"/>
              <w:ind w:firstLineChars="200" w:firstLine="640"/>
              <w:jc w:val="left"/>
              <w:rPr>
                <w:rFonts w:ascii="Times New Roman" w:eastAsia="方正仿宋_GBK" w:cs="Times New Roman" w:hAnsi="Times New Roman"/>
                <w:sz w:val="28"/>
              </w:rPr>
            </w:pPr>
            <w:r>
              <w:rPr>
                <w:rFonts w:ascii="Times New Roman" w:eastAsia="方正仿宋_GBK" w:cs="Times New Roman" w:hAnsi="Times New Roman"/>
                <w:kern w:val="0"/>
                <w:sz w:val="32"/>
                <w:szCs w:val="32"/>
              </w:rPr>
              <w:t>以上事实有海关出口货物报关单证、海关查验记录单、出口货物及照片、权利人采取知识产权海关保护措施的申请、海关扣留决定书、扣留清单、现场笔录、当事人情况说明等材料为证。</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8</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执法依据</w:t>
            </w:r>
          </w:p>
        </w:tc>
        <w:tc>
          <w:tcPr>
            <w:tcW w:w="7049" w:type="dxa"/>
            <w:gridSpan w:val="2"/>
          </w:tcPr>
          <w:p>
            <w:pPr>
              <w:spacing w:line="560" w:lineRule="exact"/>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《中华人民共和国海关法》第九十一条</w:t>
            </w:r>
          </w:p>
          <w:p>
            <w:pPr>
              <w:spacing w:line="560" w:lineRule="exact"/>
              <w:jc w:val="lef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《中华人民共和国海关行政处罚实施条例》第二十五条第一款</w:t>
            </w:r>
          </w:p>
          <w:p>
            <w:pPr>
              <w:spacing w:line="560" w:lineRule="exact"/>
              <w:jc w:val="left"/>
              <w:rPr>
                <w:rFonts w:ascii="Times New Roman" w:eastAsia="方正仿宋_GBK" w:cs="Times New Roman" w:hAnsi="Times New Roman"/>
                <w:kern w:val="0"/>
                <w:sz w:val="32"/>
                <w:szCs w:val="32"/>
              </w:rPr>
            </w:pPr>
            <w:r>
              <w:rPr>
                <w:rFonts w:ascii="Times New Roman" w:eastAsia="方正仿宋_GBK" w:cs="Times New Roman" w:hAnsi="Times New Roman" w:hint="eastAsia"/>
                <w:kern w:val="0"/>
                <w:sz w:val="32"/>
                <w:szCs w:val="32"/>
              </w:rPr>
              <w:t>《中华人民共和国海关行政处罚裁量基准（三）》（海关总署公告</w:t>
            </w:r>
            <w:r>
              <w:rPr>
                <w:rFonts w:ascii="Times New Roman" w:eastAsia="方正仿宋_GBK" w:cs="Times New Roman" w:hAnsi="Times New Roman"/>
                <w:kern w:val="0"/>
                <w:sz w:val="32"/>
                <w:szCs w:val="32"/>
              </w:rPr>
              <w:t>2023</w:t>
            </w:r>
            <w:r>
              <w:rPr>
                <w:rFonts w:ascii="Times New Roman" w:eastAsia="方正仿宋_GBK" w:cs="Times New Roman" w:hAnsi="Times New Roman" w:hint="eastAsia"/>
                <w:kern w:val="0"/>
                <w:sz w:val="32"/>
                <w:szCs w:val="32"/>
              </w:rPr>
              <w:t>年第</w:t>
            </w:r>
            <w:r>
              <w:rPr>
                <w:rFonts w:ascii="Times New Roman" w:eastAsia="方正仿宋_GBK" w:cs="Times New Roman" w:hAnsi="Times New Roman"/>
                <w:kern w:val="0"/>
                <w:sz w:val="32"/>
                <w:szCs w:val="32"/>
              </w:rPr>
              <w:t>198</w:t>
            </w:r>
            <w:r>
              <w:rPr>
                <w:rFonts w:ascii="Times New Roman" w:eastAsia="方正仿宋_GBK" w:cs="Times New Roman" w:hAnsi="Times New Roman" w:hint="eastAsia"/>
                <w:kern w:val="0"/>
                <w:sz w:val="32"/>
                <w:szCs w:val="32"/>
              </w:rPr>
              <w:t>号）第十一条第二项、第十三条第二项</w:t>
            </w:r>
          </w:p>
        </w:tc>
      </w:tr>
      <w:tr>
        <w:trPr>
          <w:trHeight w:val="758"/>
        </w:trP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9</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处罚内容</w:t>
            </w:r>
          </w:p>
        </w:tc>
        <w:tc>
          <w:tcPr>
            <w:tcW w:w="7049"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kern w:val="0"/>
                <w:sz w:val="32"/>
                <w:szCs w:val="32"/>
              </w:rPr>
              <w:t>没收侵权货物，并处罚款人民币</w:t>
            </w:r>
            <w:r>
              <w:rPr>
                <w:rFonts w:ascii="Times New Roman" w:eastAsia="方正仿宋_GBK" w:cs="Times New Roman" w:hAnsi="Times New Roman" w:hint="eastAsia"/>
                <w:kern w:val="0"/>
                <w:sz w:val="32"/>
                <w:szCs w:val="32"/>
              </w:rPr>
              <w:t>187</w:t>
            </w:r>
            <w:r>
              <w:rPr>
                <w:rFonts w:ascii="Times New Roman" w:eastAsia="方正仿宋_GBK" w:cs="Times New Roman" w:hAnsi="Times New Roman"/>
                <w:kern w:val="0"/>
                <w:sz w:val="32"/>
                <w:szCs w:val="32"/>
              </w:rPr>
              <w:t>元。</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10</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救济渠道</w:t>
            </w:r>
          </w:p>
        </w:tc>
        <w:tc>
          <w:tcPr>
            <w:tcW w:w="7049" w:type="dxa"/>
            <w:gridSpan w:val="2"/>
          </w:tcPr>
          <w:p>
            <w:pPr>
              <w:rPr>
                <w:rFonts w:ascii="Times New Roman" w:eastAsia="方正仿宋_GBK" w:cs="Times New Roman" w:hAnsi="Times New Roman"/>
                <w:kern w:val="0"/>
                <w:sz w:val="32"/>
                <w:szCs w:val="32"/>
              </w:rPr>
            </w:pPr>
            <w:r>
              <w:rPr>
                <w:rFonts w:ascii="Times New Roman" w:eastAsia="方正仿宋_GBK" w:cs="Times New Roman" w:hAnsi="Times New Roman" w:hint="eastAsia"/>
                <w:kern w:val="0"/>
                <w:sz w:val="32"/>
                <w:szCs w:val="32"/>
              </w:rPr>
              <w:t>当事人不服本处罚决定的，依照《中华人民共和国行政复议法》第二十条、第二十七条，《中华人民共和国行政诉讼法》第四十六条之规定，可自本处罚决定书送达之日起六十日内向深圳海关申请行政复议，或者自本处罚决定书送达之日起六个月内，直接向深圳市中级人民法院提起行政诉讼。</w:t>
            </w:r>
          </w:p>
          <w:p>
            <w:pPr>
              <w:rPr>
                <w:rFonts w:ascii="Times New Roman" w:eastAsia="方正仿宋_GBK" w:cs="Times New Roman" w:hAnsi="Times New Roman"/>
                <w:kern w:val="0"/>
                <w:sz w:val="32"/>
                <w:szCs w:val="32"/>
              </w:rPr>
            </w:pP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11</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其他</w:t>
            </w:r>
          </w:p>
        </w:tc>
        <w:tc>
          <w:tcPr>
            <w:tcW w:w="7049"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 xml:space="preserve">      </w:t>
            </w:r>
          </w:p>
        </w:tc>
      </w:tr>
    </w:tbl>
    <w:p>
      <w:pPr>
        <w:jc w:val="left"/>
        <w:rPr>
          <w:rFonts w:ascii="Times New Roman" w:eastAsia="方正仿宋_GBK" w:cs="Times New Roman" w:hAnsi="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variable"/>
    <w:sig w:usb0="00000001" w:usb1="080E0000" w:usb2="0000001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7"/>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2">
    <w:name w:val="heading 2"/>
    <w:basedOn w:val="0"/>
    <w:next w:val="0"/>
    <w:pPr>
      <w:widowControl/>
      <w:spacing w:before="100" w:beforeAutospacing="1" w:after="100" w:afterAutospacing="1"/>
      <w:jc w:val="left"/>
      <w:outlineLvl w:val="1"/>
    </w:pPr>
    <w:rPr>
      <w:rFonts w:ascii="宋体" w:cs="宋体"/>
      <w:b/>
      <w:bCs/>
      <w:kern w:val="0"/>
      <w:sz w:val="36"/>
      <w:szCs w:val="36"/>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widowControl/>
      <w:spacing w:before="100" w:beforeAutospacing="1" w:after="100" w:afterAutospacing="1"/>
      <w:jc w:val="left"/>
    </w:pPr>
    <w:rPr>
      <w:rFonts w:ascii="宋体" w:cs="宋体"/>
      <w:kern w:val="0"/>
      <w:sz w:val="24"/>
      <w:szCs w:val="24"/>
    </w:rPr>
  </w:style>
  <w:style w:type="character" w:styleId="19">
    <w:name w:val="FollowedHyperlink"/>
    <w:basedOn w:val="10"/>
    <w:rPr>
      <w:color w:val="000000"/>
      <w:sz w:val="14"/>
      <w:szCs w:val="14"/>
      <w:u w:val="none"/>
    </w:rPr>
  </w:style>
  <w:style w:type="character" w:styleId="20">
    <w:name w:val="Hyperlink"/>
    <w:basedOn w:val="10"/>
    <w:rPr>
      <w:color w:val="000000"/>
      <w:sz w:val="14"/>
      <w:szCs w:val="14"/>
      <w:u w:val="none"/>
    </w:rPr>
  </w:style>
  <w:style w:type="paragraph" w:customStyle="1" w:styleId="21">
    <w:name w:val="样式 10 磅"/>
    <w:pPr>
      <w:widowControl w:val="0"/>
      <w:jc w:val="both"/>
    </w:pPr>
    <w:rPr>
      <w:rFonts w:ascii="Calibri" w:eastAsia="宋体" w:cs="Arial" w:hAnsi="Calibri"/>
      <w:kern w:val="2"/>
      <w:sz w:val="21"/>
      <w:szCs w:val="22"/>
      <w:lang w:val="en-US" w:eastAsia="zh-CN" w:bidi="ar-SA"/>
    </w:rPr>
  </w:style>
  <w:style w:type="character" w:customStyle="1" w:styleId="22">
    <w:name w:val="ui-icon"/>
    <w:basedOn w:val="10"/>
  </w:style>
  <w:style w:type="character" w:customStyle="1" w:styleId="23">
    <w:name w:val="h-control-text-title"/>
    <w:basedOn w:val="10"/>
    <w:rPr>
      <w:bdr w:val="none" w:sz="0" w:space="0" w:color="auto"/>
      <w:shd w:val="clear" w:color="auto" w:fill="FFFFFF"/>
    </w:rPr>
  </w:style>
  <w:style w:type="character" w:customStyle="1" w:styleId="24">
    <w:name w:val="h-control-text-title1"/>
    <w:basedOn w:val="10"/>
    <w:rPr>
      <w:rFonts w:ascii="宋体" w:eastAsia="宋体" w:cs="宋体"/>
      <w:b/>
      <w:bCs/>
      <w:sz w:val="16"/>
      <w:szCs w:val="16"/>
      <w:bdr w:val="none" w:sz="0" w:space="0" w:color="auto"/>
      <w:shd w:val="clear" w:color="auto" w:fill="F5F5F5"/>
    </w:rPr>
  </w:style>
  <w:style w:type="character" w:customStyle="1" w:styleId="25">
    <w:name w:val="ico-zs_duban"/>
    <w:basedOn w:val="10"/>
  </w:style>
  <w:style w:type="character" w:customStyle="1" w:styleId="26">
    <w:name w:val="ico-hidealsw"/>
    <w:basedOn w:val="10"/>
  </w:style>
  <w:style w:type="character" w:customStyle="1" w:styleId="27">
    <w:name w:val="ico-hidealhlwxx"/>
    <w:basedOn w:val="10"/>
  </w:style>
  <w:style w:type="character" w:customStyle="1" w:styleId="28">
    <w:name w:val="ico-hidealzwxx"/>
    <w:basedOn w:val="10"/>
  </w:style>
  <w:style w:type="character" w:customStyle="1" w:styleId="29">
    <w:name w:val="h-control-select"/>
    <w:basedOn w:val="10"/>
    <w:rPr>
      <w:bdr w:val="none" w:sz="0" w:space="0" w:color="auto"/>
      <w:shd w:val="clear" w:color="auto" w:fill="FFFFFF"/>
    </w:rPr>
  </w:style>
  <w:style w:type="character" w:customStyle="1" w:styleId="30">
    <w:name w:val="ico-plan_scheme"/>
    <w:basedOn w:val="10"/>
  </w:style>
  <w:style w:type="character" w:customStyle="1" w:styleId="31">
    <w:name w:val="first"/>
    <w:basedOn w:val="10"/>
  </w:style>
  <w:style w:type="character" w:customStyle="1" w:styleId="32">
    <w:name w:val="ico-news_material"/>
    <w:basedOn w:val="10"/>
  </w:style>
  <w:style w:type="character" w:customStyle="1" w:styleId="33">
    <w:name w:val="ico-hidealcooperation"/>
    <w:basedOn w:val="10"/>
  </w:style>
  <w:style w:type="character" w:customStyle="1" w:styleId="34">
    <w:name w:val="ico-hidealnotice"/>
    <w:basedOn w:val="10"/>
  </w:style>
  <w:style w:type="character" w:customStyle="1" w:styleId="35">
    <w:name w:val="man"/>
    <w:basedOn w:val="10"/>
  </w:style>
  <w:style w:type="character" w:customStyle="1" w:styleId="36">
    <w:name w:val="h-control-text-write2"/>
    <w:basedOn w:val="10"/>
    <w:rPr>
      <w:sz w:val="14"/>
      <w:szCs w:val="14"/>
      <w:bdr w:val="none" w:sz="0" w:space="0" w:color="auto"/>
    </w:rPr>
  </w:style>
  <w:style w:type="character" w:customStyle="1" w:styleId="37">
    <w:name w:val="ico-published_news"/>
    <w:basedOn w:val="10"/>
  </w:style>
  <w:style w:type="character" w:customStyle="1" w:styleId="38">
    <w:name w:val="women"/>
    <w:basedOn w:val="10"/>
  </w:style>
  <w:style w:type="character" w:customStyle="1" w:styleId="39">
    <w:name w:val="h-control-text-title-co"/>
    <w:basedOn w:val="10"/>
    <w:rPr>
      <w:rFonts w:ascii="宋体" w:eastAsia="宋体" w:cs="宋体"/>
      <w:b/>
      <w:bCs/>
      <w:sz w:val="16"/>
      <w:szCs w:val="16"/>
      <w:bdr w:val="none" w:sz="0" w:space="0" w:color="auto"/>
      <w:shd w:val="clear" w:color="auto" w:fill="F5F5F5"/>
    </w:rPr>
  </w:style>
  <w:style w:type="character" w:customStyle="1" w:styleId="40">
    <w:name w:val="ico-news_add_score"/>
    <w:basedOn w:val="10"/>
  </w:style>
  <w:style w:type="character" w:customStyle="1" w:styleId="41">
    <w:name w:val="ico-news_picture"/>
    <w:basedOn w:val="10"/>
  </w:style>
  <w:style w:type="character" w:customStyle="1" w:styleId="42">
    <w:name w:val="icon"/>
    <w:basedOn w:val="10"/>
  </w:style>
  <w:style w:type="character" w:customStyle="1" w:styleId="43">
    <w:name w:val="ico-hidealqb"/>
    <w:basedOn w:val="10"/>
  </w:style>
  <w:style w:type="character" w:customStyle="1" w:styleId="44">
    <w:name w:val="ico-hidealcap"/>
    <w:basedOn w:val="10"/>
  </w:style>
  <w:style w:type="character" w:customStyle="1" w:styleId="45">
    <w:name w:val="h-control-select-secret"/>
    <w:basedOn w:val="10"/>
    <w:rPr>
      <w:rFonts w:ascii="宋体" w:eastAsia="宋体" w:cs="宋体"/>
      <w:sz w:val="14"/>
      <w:szCs w:val="14"/>
      <w:bdr w:val="none" w:sz="0" w:space="0" w:color="auto"/>
    </w:rPr>
  </w:style>
  <w:style w:type="character" w:customStyle="1" w:styleId="46">
    <w:name w:val="h-control-text"/>
    <w:basedOn w:val="10"/>
    <w:rPr>
      <w:sz w:val="14"/>
      <w:szCs w:val="14"/>
    </w:rPr>
  </w:style>
  <w:style w:type="character" w:customStyle="1" w:styleId="47">
    <w:name w:val="h-control-textarea"/>
    <w:basedOn w:val="10"/>
    <w:rPr>
      <w:color w:val="000000"/>
    </w:rPr>
  </w:style>
  <w:style w:type="character" w:customStyle="1" w:styleId="48">
    <w:name w:val="h-control-textarea1"/>
    <w:basedOn w:val="10"/>
    <w:rPr>
      <w:rFonts w:ascii="宋体" w:eastAsia="宋体" w:cs="宋体"/>
      <w:sz w:val="14"/>
      <w:szCs w:val="14"/>
      <w:bdr w:val="none" w:sz="0" w:space="0" w:color="auto"/>
    </w:rPr>
  </w:style>
  <w:style w:type="character" w:customStyle="1" w:styleId="49">
    <w:name w:val="h-control-text-key"/>
    <w:basedOn w:val="10"/>
    <w:rPr>
      <w:rFonts w:ascii="宋体" w:eastAsia="宋体" w:cs="宋体"/>
      <w:sz w:val="14"/>
      <w:szCs w:val="14"/>
      <w:u w:val="single"/>
    </w:rPr>
  </w:style>
  <w:style w:type="character" w:customStyle="1" w:styleId="50">
    <w:name w:val="ico-zs_resource"/>
    <w:basedOn w:val="10"/>
  </w:style>
  <w:style w:type="character" w:customStyle="1" w:styleId="51">
    <w:name w:val="h-control-text-title-qb"/>
    <w:basedOn w:val="10"/>
    <w:rPr>
      <w:rFonts w:ascii="宋体" w:eastAsia="宋体" w:cs="宋体"/>
      <w:b/>
      <w:bCs/>
      <w:sz w:val="16"/>
      <w:szCs w:val="16"/>
      <w:bdr w:val="single" w:sz="4" w:space="0" w:color="F5F5F5"/>
      <w:shd w:val="clear" w:color="auto" w:fill="F5F5F5"/>
    </w:rPr>
  </w:style>
  <w:style w:type="character" w:customStyle="1" w:styleId="52">
    <w:name w:val="h-control-select-co"/>
    <w:basedOn w:val="10"/>
    <w:rPr>
      <w:rFonts w:ascii="宋体" w:eastAsia="宋体" w:cs="宋体"/>
      <w:sz w:val="14"/>
      <w:szCs w:val="14"/>
      <w:bdr w:val="single" w:sz="4" w:space="0" w:color="F5F5F5"/>
      <w:shd w:val="clear" w:color="auto" w:fill="F5F5F5"/>
    </w:rPr>
  </w:style>
  <w:style w:type="character" w:customStyle="1" w:styleId="53">
    <w:name w:val="h-control-text-write-qb2"/>
    <w:basedOn w:val="10"/>
    <w:rPr>
      <w:sz w:val="14"/>
      <w:szCs w:val="14"/>
      <w:bdr w:val="single" w:sz="4" w:space="0" w:color="F5F5F5"/>
      <w:shd w:val="clear" w:color="auto" w:fill="F5F5F5"/>
    </w:rPr>
  </w:style>
  <w:style w:type="character" w:customStyle="1" w:styleId="54">
    <w:name w:val="ico-hidealfw"/>
    <w:basedOn w:val="10"/>
  </w:style>
  <w:style w:type="character" w:customStyle="1" w:styleId="55">
    <w:name w:val="ico-zs_news"/>
    <w:basedOn w:val="10"/>
  </w:style>
  <w:style w:type="character" w:customStyle="1" w:styleId="56">
    <w:name w:val="ico-logistic_support"/>
    <w:basedOn w:val="10"/>
  </w:style>
  <w:style w:type="character" w:customStyle="1" w:styleId="57">
    <w:name w:val="ico-news_internet"/>
    <w:basedOn w:val="10"/>
  </w:style>
  <w:style w:type="character" w:customStyle="1" w:styleId="58">
    <w:name w:val="ico-video_material"/>
    <w:basedOn w:val="10"/>
  </w:style>
  <w:style w:type="character" w:customStyle="1" w:styleId="59">
    <w:name w:val="labelstyle1"/>
    <w:basedOn w:val="10"/>
    <w:rPr>
      <w:rFonts w:ascii="微软雅黑" w:eastAsia="微软雅黑" w:cs="微软雅黑"/>
      <w:sz w:val="14"/>
      <w:szCs w:val="14"/>
    </w:rPr>
  </w:style>
  <w:style w:type="character" w:customStyle="1" w:styleId="60">
    <w:name w:val="h-control-text-write-qb"/>
    <w:basedOn w:val="10"/>
    <w:rPr>
      <w:sz w:val="14"/>
      <w:szCs w:val="14"/>
      <w:bdr w:val="single" w:sz="4" w:space="0" w:color="F5F5F5"/>
      <w:shd w:val="clear" w:color="auto" w:fill="F5F5F5"/>
    </w:rPr>
  </w:style>
  <w:style w:type="character" w:customStyle="1" w:styleId="61">
    <w:name w:val="h-control-select4"/>
    <w:basedOn w:val="10"/>
    <w:rPr>
      <w:bdr w:val="none" w:sz="0" w:space="0" w:color="auto"/>
      <w:shd w:val="clear" w:color="auto" w:fill="FFFFFF"/>
    </w:rPr>
  </w:style>
  <w:style w:type="character" w:customStyle="1" w:styleId="62">
    <w:name w:val="h-control-select5"/>
    <w:basedOn w:val="10"/>
    <w:rPr>
      <w:rFonts w:ascii="宋体" w:eastAsia="宋体" w:cs="宋体"/>
      <w:sz w:val="14"/>
      <w:szCs w:val="14"/>
      <w:bdr w:val="none" w:sz="0" w:space="0" w:color="auto"/>
      <w:shd w:val="clear" w:color="auto" w:fill="F5F5F5"/>
    </w:rPr>
  </w:style>
  <w:style w:type="character" w:customStyle="1" w:styleId="63">
    <w:name w:val="ui-icon29"/>
    <w:basedOn w:val="10"/>
  </w:style>
  <w:style w:type="character" w:customStyle="1" w:styleId="64">
    <w:name w:val="h-control-text-write"/>
    <w:basedOn w:val="10"/>
    <w:rPr>
      <w:sz w:val="14"/>
      <w:szCs w:val="14"/>
      <w:bdr w:val="single" w:sz="2" w:space="0" w:color="969696"/>
      <w:shd w:val="clear" w:color="auto" w:fill="FFFFFF"/>
    </w:rPr>
  </w:style>
  <w:style w:type="character" w:customStyle="1" w:styleId="65">
    <w:name w:val="ui-icon36"/>
    <w:basedOn w:val="10"/>
  </w:style>
  <w:style w:type="character" w:customStyle="1" w:styleId="66">
    <w:name w:val="ui-icon35"/>
    <w:basedOn w:val="10"/>
  </w:style>
  <w:style w:type="character" w:customStyle="1" w:styleId="67">
    <w:name w:val="h-control-select1"/>
    <w:basedOn w:val="10"/>
    <w:rPr>
      <w:rFonts w:ascii="宋体" w:eastAsia="宋体" w:cs="宋体"/>
      <w:sz w:val="14"/>
      <w:szCs w:val="14"/>
      <w:bdr w:val="none" w:sz="0" w:space="0" w:color="auto"/>
      <w:shd w:val="clear" w:color="auto" w:fill="F5F5F5"/>
    </w:rPr>
  </w:style>
  <w:style w:type="paragraph" w:customStyle="1" w:styleId="68">
    <w:name w:val="样式 1 10 磅"/>
    <w:pPr>
      <w:widowControl w:val="0"/>
      <w:jc w:val="both"/>
    </w:pPr>
    <w:rPr>
      <w:rFonts w:ascii="Calibri" w:eastAsia="宋体" w:cs="Arial" w:hAnsi="Calibri"/>
      <w:kern w:val="2"/>
      <w:sz w:val="21"/>
      <w:szCs w:val="22"/>
      <w:lang w:val="en-US" w:eastAsia="zh-CN" w:bidi="ar-SA"/>
    </w:rPr>
  </w:style>
  <w:style w:type="paragraph" w:customStyle="1" w:styleId="69">
    <w:name w:val="样式 2 10 磅"/>
    <w:pPr>
      <w:widowControl w:val="0"/>
      <w:jc w:val="both"/>
    </w:pPr>
    <w:rPr>
      <w:rFonts w:ascii="Calibri" w:eastAsia="宋体" w:cs="Arial" w:hAnsi="Calibri"/>
      <w:kern w:val="2"/>
      <w:sz w:val="21"/>
      <w:szCs w:val="22"/>
      <w:lang w:val="en-US" w:eastAsia="zh-CN" w:bidi="ar-SA"/>
    </w:rPr>
  </w:style>
  <w:style w:type="paragraph" w:styleId="70">
    <w:name w:val="Body Text Indent"/>
    <w:basedOn w:val="0"/>
    <w:pPr>
      <w:spacing w:line="600" w:lineRule="exact"/>
      <w:ind w:firstLineChars="225" w:firstLine="225"/>
    </w:pPr>
    <w:rPr>
      <w:rFonts w:ascii="方正仿宋_GBK" w:eastAsia="方正仿宋_GBK" w:cs="Times New Roman"/>
      <w:color w:val="000000"/>
      <w:sz w:val="32"/>
      <w:szCs w:val="20"/>
    </w:rPr>
  </w:style>
  <w:style w:type="paragraph" w:customStyle="1" w:styleId="71">
    <w:name w:val="样式 14 三号"/>
    <w:pPr>
      <w:widowControl w:val="0"/>
      <w:jc w:val="both"/>
    </w:pPr>
    <w:rPr>
      <w:rFonts w:ascii="Times New Roman" w:eastAsia="仿宋_GB2312" w:cs="Times New Roman" w:hAnsi="Times New Roman"/>
      <w:kern w:val="2"/>
      <w:sz w:val="32"/>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3</Pages>
  <Words>829</Words>
  <Characters>956</Characters>
  <Lines>64</Lines>
  <Paragraphs>40</Paragraphs>
  <CharactersWithSpaces>967</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高扬</dc:creator>
  <cp:lastModifiedBy>张欣欣</cp:lastModifiedBy>
  <cp:revision>7</cp:revision>
  <cp:lastPrinted>2023-08-09T05:53:00Z</cp:lastPrinted>
  <dcterms:created xsi:type="dcterms:W3CDTF">2025-08-20T02:06:00Z</dcterms:created>
  <dcterms:modified xsi:type="dcterms:W3CDTF">2025-08-25T01:12:46Z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2052-11.1.0.12598</vt:lpwstr>
  </property>
  <property fmtid="{D5CDD505-2E9C-101B-9397-08002B2CF9AE}" pid="3" name="ICV">
    <vt:lpwstr>3C1C74027DBA4F388B56762EB3D5D823</vt:lpwstr>
  </property>
</Properties>
</file>